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75"/>
        <w:gridCol w:w="5790"/>
      </w:tblGrid>
      <w:tr w:rsidR="00537606" w:rsidRPr="00E97682" w:rsidTr="00E97682">
        <w:trPr>
          <w:trHeight w:val="306"/>
        </w:trPr>
        <w:tc>
          <w:tcPr>
            <w:tcW w:w="3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widowControl w:val="0"/>
              <w:spacing w:line="240" w:lineRule="auto"/>
              <w:jc w:val="both"/>
              <w:rPr>
                <w:rFonts w:eastAsia="Times New Roman"/>
                <w:sz w:val="24"/>
                <w:szCs w:val="24"/>
              </w:rPr>
            </w:pPr>
            <w:r w:rsidRPr="00E97682">
              <w:rPr>
                <w:rFonts w:eastAsia="Times New Roman"/>
                <w:sz w:val="24"/>
                <w:szCs w:val="24"/>
              </w:rPr>
              <w:t>Рівень загрози</w:t>
            </w:r>
          </w:p>
        </w:tc>
        <w:tc>
          <w:tcPr>
            <w:tcW w:w="5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37606" w:rsidRPr="00E97682" w:rsidRDefault="00E97682">
            <w:pPr>
              <w:spacing w:line="240" w:lineRule="auto"/>
              <w:jc w:val="both"/>
              <w:rPr>
                <w:rFonts w:eastAsia="Times New Roman"/>
                <w:sz w:val="24"/>
                <w:szCs w:val="24"/>
              </w:rPr>
            </w:pPr>
            <w:r>
              <w:rPr>
                <w:rFonts w:eastAsia="Times New Roman"/>
                <w:sz w:val="24"/>
                <w:szCs w:val="24"/>
              </w:rPr>
              <w:t>Н</w:t>
            </w:r>
            <w:r w:rsidR="006F548C" w:rsidRPr="00E97682">
              <w:rPr>
                <w:rFonts w:eastAsia="Times New Roman"/>
                <w:sz w:val="24"/>
                <w:szCs w:val="24"/>
              </w:rPr>
              <w:t xml:space="preserve">е становить серйозного ризику  </w:t>
            </w:r>
          </w:p>
        </w:tc>
      </w:tr>
      <w:tr w:rsidR="00537606" w:rsidRPr="00E97682">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Номер та дата оповіщення</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28 грудня 2016 року № 289</w:t>
            </w:r>
          </w:p>
        </w:tc>
      </w:tr>
      <w:tr w:rsidR="00537606" w:rsidRPr="00E97682" w:rsidTr="00E97682">
        <w:trPr>
          <w:trHeight w:val="329"/>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Вид продукції</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Електричне та електронне обладнання</w:t>
            </w:r>
          </w:p>
        </w:tc>
      </w:tr>
      <w:tr w:rsidR="00537606" w:rsidRPr="00E97682" w:rsidTr="00E97682">
        <w:trPr>
          <w:trHeight w:val="364"/>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Найменування продукту</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Кутові шліфувальні машини</w:t>
            </w:r>
            <w:r w:rsidRPr="00E97682">
              <w:rPr>
                <w:rFonts w:eastAsia="Times New Roman"/>
                <w:sz w:val="24"/>
                <w:szCs w:val="24"/>
              </w:rPr>
              <w:t xml:space="preserve"> </w:t>
            </w:r>
          </w:p>
        </w:tc>
      </w:tr>
      <w:tr w:rsidR="00537606" w:rsidRPr="00E97682">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Марка</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proofErr w:type="spellStart"/>
            <w:r w:rsidRPr="00E97682">
              <w:rPr>
                <w:rFonts w:eastAsia="Times New Roman"/>
                <w:sz w:val="24"/>
                <w:szCs w:val="24"/>
              </w:rPr>
              <w:t>Robert</w:t>
            </w:r>
            <w:proofErr w:type="spellEnd"/>
            <w:r w:rsidRPr="00E97682">
              <w:rPr>
                <w:rFonts w:eastAsia="Times New Roman"/>
                <w:sz w:val="24"/>
                <w:szCs w:val="24"/>
              </w:rPr>
              <w:t xml:space="preserve"> </w:t>
            </w:r>
            <w:proofErr w:type="spellStart"/>
            <w:r w:rsidRPr="00E97682">
              <w:rPr>
                <w:rFonts w:eastAsia="Times New Roman"/>
                <w:sz w:val="24"/>
                <w:szCs w:val="24"/>
              </w:rPr>
              <w:t>Bosch</w:t>
            </w:r>
            <w:proofErr w:type="spellEnd"/>
            <w:r w:rsidRPr="00E97682">
              <w:rPr>
                <w:rFonts w:eastAsia="Times New Roman"/>
                <w:sz w:val="24"/>
                <w:szCs w:val="24"/>
              </w:rPr>
              <w:t xml:space="preserve"> </w:t>
            </w:r>
            <w:proofErr w:type="spellStart"/>
            <w:r w:rsidRPr="00E97682">
              <w:rPr>
                <w:rFonts w:eastAsia="Times New Roman"/>
                <w:sz w:val="24"/>
                <w:szCs w:val="24"/>
              </w:rPr>
              <w:t>GmbH</w:t>
            </w:r>
            <w:proofErr w:type="spellEnd"/>
            <w:r w:rsidRPr="00E97682">
              <w:rPr>
                <w:rFonts w:eastAsia="Times New Roman"/>
                <w:sz w:val="24"/>
                <w:szCs w:val="24"/>
              </w:rPr>
              <w:t xml:space="preserve">  </w:t>
            </w:r>
          </w:p>
        </w:tc>
      </w:tr>
      <w:tr w:rsidR="00537606" w:rsidRPr="00E97682">
        <w:trPr>
          <w:trHeight w:val="6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Тип/номер моделі</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E97682">
            <w:pPr>
              <w:spacing w:after="60" w:line="282" w:lineRule="auto"/>
              <w:jc w:val="both"/>
              <w:rPr>
                <w:rFonts w:eastAsia="Times New Roman"/>
                <w:sz w:val="24"/>
                <w:szCs w:val="24"/>
              </w:rPr>
            </w:pPr>
            <w:r>
              <w:rPr>
                <w:rFonts w:eastAsia="Times New Roman"/>
                <w:sz w:val="24"/>
                <w:szCs w:val="24"/>
                <w:lang w:val="uk-UA"/>
              </w:rPr>
              <w:t>К</w:t>
            </w:r>
            <w:proofErr w:type="spellStart"/>
            <w:r w:rsidR="006F548C" w:rsidRPr="00E97682">
              <w:rPr>
                <w:rFonts w:eastAsia="Times New Roman"/>
                <w:sz w:val="24"/>
                <w:szCs w:val="24"/>
              </w:rPr>
              <w:t>утові</w:t>
            </w:r>
            <w:proofErr w:type="spellEnd"/>
            <w:r w:rsidR="006F548C" w:rsidRPr="00E97682">
              <w:rPr>
                <w:rFonts w:eastAsia="Times New Roman"/>
                <w:sz w:val="24"/>
                <w:szCs w:val="24"/>
              </w:rPr>
              <w:t xml:space="preserve"> шліфувальні машини торгової марки BOSCH серії GWS моделі GWS 20, GWS 22, GWS 24 та серії PWS моделі PWS 20, PWS 1900 та PWS 2000</w:t>
            </w:r>
          </w:p>
        </w:tc>
      </w:tr>
      <w:tr w:rsidR="00537606" w:rsidRPr="00E97682">
        <w:trPr>
          <w:trHeight w:val="4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Опис продукції та упаковки</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 xml:space="preserve">Кутові </w:t>
            </w:r>
            <w:proofErr w:type="spellStart"/>
            <w:r w:rsidRPr="00E97682">
              <w:rPr>
                <w:rFonts w:eastAsia="Times New Roman"/>
                <w:sz w:val="24"/>
                <w:szCs w:val="24"/>
              </w:rPr>
              <w:t>шліфмашини</w:t>
            </w:r>
            <w:proofErr w:type="spellEnd"/>
            <w:r w:rsidRPr="00E97682">
              <w:rPr>
                <w:rFonts w:eastAsia="Times New Roman"/>
                <w:sz w:val="24"/>
                <w:szCs w:val="24"/>
              </w:rPr>
              <w:t xml:space="preserve"> розроблені для комерційного та приватного використання та призначені для р</w:t>
            </w:r>
            <w:r w:rsidRPr="00E97682">
              <w:rPr>
                <w:rFonts w:eastAsia="Times New Roman"/>
                <w:sz w:val="24"/>
                <w:szCs w:val="24"/>
              </w:rPr>
              <w:t xml:space="preserve">ізання, обробки та зачистки металевих та бетонних матеріалів без використання води. Ріжучий або шліфувальний диск, що використовується в </w:t>
            </w:r>
            <w:proofErr w:type="spellStart"/>
            <w:r w:rsidRPr="00E97682">
              <w:rPr>
                <w:rFonts w:eastAsia="Times New Roman"/>
                <w:sz w:val="24"/>
                <w:szCs w:val="24"/>
              </w:rPr>
              <w:t>шліфмашинах</w:t>
            </w:r>
            <w:proofErr w:type="spellEnd"/>
            <w:r w:rsidRPr="00E97682">
              <w:rPr>
                <w:rFonts w:eastAsia="Times New Roman"/>
                <w:sz w:val="24"/>
                <w:szCs w:val="24"/>
              </w:rPr>
              <w:t xml:space="preserve"> приєднується до шпинделя, який втискається в прилад в процесі використання.</w:t>
            </w:r>
          </w:p>
          <w:tbl>
            <w:tblPr>
              <w:tblStyle w:val="a6"/>
              <w:tblW w:w="55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3"/>
              <w:gridCol w:w="1559"/>
              <w:gridCol w:w="2338"/>
            </w:tblGrid>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bottom"/>
                </w:tcPr>
                <w:p w:rsidR="00537606" w:rsidRPr="00E97682" w:rsidRDefault="006F548C">
                  <w:pPr>
                    <w:spacing w:line="218" w:lineRule="auto"/>
                    <w:jc w:val="both"/>
                    <w:rPr>
                      <w:rFonts w:eastAsia="Times New Roman"/>
                      <w:sz w:val="24"/>
                      <w:szCs w:val="24"/>
                    </w:rPr>
                  </w:pPr>
                  <w:r w:rsidRPr="00E97682">
                    <w:rPr>
                      <w:rFonts w:eastAsia="Times New Roman"/>
                      <w:sz w:val="24"/>
                      <w:szCs w:val="24"/>
                    </w:rPr>
                    <w:t>Модель</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bottom"/>
                </w:tcPr>
                <w:p w:rsidR="00537606" w:rsidRPr="00E97682" w:rsidRDefault="006F548C">
                  <w:pPr>
                    <w:spacing w:line="218" w:lineRule="auto"/>
                    <w:jc w:val="both"/>
                    <w:rPr>
                      <w:rFonts w:eastAsia="Times New Roman"/>
                      <w:sz w:val="24"/>
                      <w:szCs w:val="24"/>
                    </w:rPr>
                  </w:pPr>
                  <w:r w:rsidRPr="00E97682">
                    <w:rPr>
                      <w:rFonts w:eastAsia="Times New Roman"/>
                      <w:sz w:val="24"/>
                      <w:szCs w:val="24"/>
                    </w:rPr>
                    <w:t>Номер виробу</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vAlign w:val="bottom"/>
                </w:tcPr>
                <w:p w:rsidR="00537606" w:rsidRPr="00E97682" w:rsidRDefault="006F548C">
                  <w:pPr>
                    <w:spacing w:line="218" w:lineRule="auto"/>
                    <w:jc w:val="both"/>
                    <w:rPr>
                      <w:rFonts w:eastAsia="Times New Roman"/>
                      <w:sz w:val="24"/>
                      <w:szCs w:val="24"/>
                    </w:rPr>
                  </w:pPr>
                  <w:r w:rsidRPr="00E97682">
                    <w:rPr>
                      <w:rFonts w:eastAsia="Times New Roman"/>
                      <w:sz w:val="24"/>
                      <w:szCs w:val="24"/>
                    </w:rPr>
                    <w:t>Серійний но</w:t>
                  </w:r>
                  <w:r w:rsidRPr="00E97682">
                    <w:rPr>
                      <w:rFonts w:eastAsia="Times New Roman"/>
                      <w:sz w:val="24"/>
                      <w:szCs w:val="24"/>
                    </w:rPr>
                    <w:t>мер</w:t>
                  </w:r>
                </w:p>
              </w:tc>
            </w:tr>
            <w:tr w:rsidR="00537606" w:rsidRPr="00E97682">
              <w:trPr>
                <w:trHeight w:val="156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20-230 Н</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3601Н50102; 3601H50L01; 3601H50L03; 3601H50L62; 3601H50L72; 3601H50L73</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20-230 JH</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3601Н50М01</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110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22 - 180 Н</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3601Н81102; 3601H81L02; 3601H81L62; 3601H81L72</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22-180 JH</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3601Н81М02</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182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lastRenderedPageBreak/>
                    <w:t>GWS 22 - 230 Н</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3601Н82103;</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3601H82L03;</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3601H82L63;</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3601H82L73</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182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22 - 230 JH</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3601Н82202;</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3601Н82М03;</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3601Н82М32;</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3601Н82203</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24-180 Н</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3601Н83101</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24-180 JH</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3601Н83М01</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136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24-230 Н</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3601Н84101;</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3601Н841Р1;</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3601H84L01</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88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GWS 24-230 JH</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3601Н84201; 3601Н84М01; 3601Н84204</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136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vertAlign w:val="superscript"/>
                    </w:rPr>
                  </w:pPr>
                  <w:r w:rsidRPr="00E97682">
                    <w:rPr>
                      <w:rFonts w:eastAsia="Times New Roman"/>
                      <w:sz w:val="24"/>
                      <w:szCs w:val="24"/>
                    </w:rPr>
                    <w:t>GWS 24-230 JVX</w:t>
                  </w:r>
                  <w:r w:rsidRPr="00E97682">
                    <w:rPr>
                      <w:rFonts w:eastAsia="Times New Roman"/>
                      <w:sz w:val="24"/>
                      <w:szCs w:val="24"/>
                      <w:vertAlign w:val="superscript"/>
                    </w:rPr>
                    <w:t>[1]</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46" w:lineRule="auto"/>
                    <w:jc w:val="both"/>
                    <w:rPr>
                      <w:rFonts w:eastAsia="Times New Roman"/>
                      <w:sz w:val="24"/>
                      <w:szCs w:val="24"/>
                    </w:rPr>
                  </w:pPr>
                  <w:r w:rsidRPr="00E97682">
                    <w:rPr>
                      <w:rFonts w:eastAsia="Times New Roman"/>
                      <w:sz w:val="24"/>
                      <w:szCs w:val="24"/>
                    </w:rPr>
                    <w:t>3601Н64505;</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3601H64U07;</w:t>
                  </w:r>
                </w:p>
                <w:p w:rsidR="00537606" w:rsidRPr="00E97682" w:rsidRDefault="006F548C">
                  <w:pPr>
                    <w:spacing w:line="246" w:lineRule="auto"/>
                    <w:jc w:val="both"/>
                    <w:rPr>
                      <w:rFonts w:eastAsia="Times New Roman"/>
                      <w:sz w:val="24"/>
                      <w:szCs w:val="24"/>
                    </w:rPr>
                  </w:pPr>
                  <w:r w:rsidRPr="00E97682">
                    <w:rPr>
                      <w:rFonts w:eastAsia="Times New Roman"/>
                      <w:sz w:val="24"/>
                      <w:szCs w:val="24"/>
                    </w:rPr>
                    <w:t>3601H64Z05</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 xml:space="preserve">602хххххх-61 </w:t>
                  </w:r>
                  <w:proofErr w:type="spellStart"/>
                  <w:r w:rsidRPr="00E97682">
                    <w:rPr>
                      <w:rFonts w:eastAsia="Times New Roman"/>
                      <w:sz w:val="24"/>
                      <w:szCs w:val="24"/>
                    </w:rPr>
                    <w:t>Охххххх</w:t>
                  </w:r>
                  <w:proofErr w:type="spellEnd"/>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PWS 20-230</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3603C59W09</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440"/>
              </w:trPr>
              <w:tc>
                <w:tcPr>
                  <w:tcW w:w="1682"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PW5 1900</w:t>
                  </w:r>
                </w:p>
              </w:tc>
              <w:tc>
                <w:tcPr>
                  <w:tcW w:w="1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3603C59W08</w:t>
                  </w:r>
                </w:p>
              </w:tc>
              <w:tc>
                <w:tcPr>
                  <w:tcW w:w="2338"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r w:rsidR="00537606" w:rsidRPr="00E97682">
              <w:trPr>
                <w:trHeight w:val="840"/>
              </w:trPr>
              <w:tc>
                <w:tcPr>
                  <w:tcW w:w="1682"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r w:rsidRPr="00E97682">
                    <w:rPr>
                      <w:rFonts w:eastAsia="Times New Roman"/>
                      <w:sz w:val="24"/>
                      <w:szCs w:val="24"/>
                    </w:rPr>
                    <w:t>PWS 2000-230JE</w:t>
                  </w:r>
                </w:p>
              </w:tc>
              <w:tc>
                <w:tcPr>
                  <w:tcW w:w="1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tcPr>
                <w:p w:rsidR="00537606" w:rsidRPr="00E97682" w:rsidRDefault="006F548C">
                  <w:pPr>
                    <w:spacing w:after="60" w:line="218" w:lineRule="auto"/>
                    <w:jc w:val="both"/>
                    <w:rPr>
                      <w:rFonts w:eastAsia="Times New Roman"/>
                      <w:sz w:val="24"/>
                      <w:szCs w:val="24"/>
                    </w:rPr>
                  </w:pPr>
                  <w:r w:rsidRPr="00E97682">
                    <w:rPr>
                      <w:rFonts w:eastAsia="Times New Roman"/>
                      <w:sz w:val="24"/>
                      <w:szCs w:val="24"/>
                    </w:rPr>
                    <w:t>3603СС6000;</w:t>
                  </w:r>
                </w:p>
                <w:p w:rsidR="00537606" w:rsidRPr="00E97682" w:rsidRDefault="006F548C">
                  <w:pPr>
                    <w:spacing w:line="218" w:lineRule="auto"/>
                    <w:jc w:val="both"/>
                    <w:rPr>
                      <w:rFonts w:eastAsia="Times New Roman"/>
                      <w:sz w:val="24"/>
                      <w:szCs w:val="24"/>
                    </w:rPr>
                  </w:pPr>
                  <w:r w:rsidRPr="00E97682">
                    <w:rPr>
                      <w:rFonts w:eastAsia="Times New Roman"/>
                      <w:sz w:val="24"/>
                      <w:szCs w:val="24"/>
                    </w:rPr>
                    <w:t>3603СС6030</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537606" w:rsidRPr="00E97682" w:rsidRDefault="006F548C">
                  <w:pPr>
                    <w:spacing w:line="218" w:lineRule="auto"/>
                    <w:jc w:val="both"/>
                    <w:rPr>
                      <w:rFonts w:eastAsia="Times New Roman"/>
                      <w:sz w:val="24"/>
                      <w:szCs w:val="24"/>
                    </w:rPr>
                  </w:pPr>
                  <w:proofErr w:type="spellStart"/>
                  <w:r w:rsidRPr="00E97682">
                    <w:rPr>
                      <w:rFonts w:eastAsia="Times New Roman"/>
                      <w:sz w:val="24"/>
                      <w:szCs w:val="24"/>
                    </w:rPr>
                    <w:t>бОбхххххх</w:t>
                  </w:r>
                  <w:proofErr w:type="spellEnd"/>
                  <w:r w:rsidRPr="00E97682">
                    <w:rPr>
                      <w:rFonts w:eastAsia="Times New Roman"/>
                      <w:sz w:val="24"/>
                      <w:szCs w:val="24"/>
                    </w:rPr>
                    <w:t xml:space="preserve"> - 608хххххх</w:t>
                  </w:r>
                </w:p>
              </w:tc>
            </w:tr>
          </w:tbl>
          <w:p w:rsidR="00537606" w:rsidRPr="00E97682" w:rsidRDefault="006F548C">
            <w:pPr>
              <w:spacing w:line="240" w:lineRule="auto"/>
              <w:jc w:val="both"/>
              <w:rPr>
                <w:rFonts w:eastAsia="Times New Roman"/>
                <w:sz w:val="24"/>
                <w:szCs w:val="24"/>
              </w:rPr>
            </w:pPr>
            <w:r w:rsidRPr="00E97682">
              <w:rPr>
                <w:rFonts w:eastAsia="Times New Roman"/>
                <w:sz w:val="24"/>
                <w:szCs w:val="24"/>
              </w:rPr>
              <w:t xml:space="preserve"> </w:t>
            </w:r>
          </w:p>
          <w:p w:rsidR="00537606" w:rsidRPr="00E97682" w:rsidRDefault="006F548C">
            <w:pPr>
              <w:spacing w:line="240" w:lineRule="auto"/>
              <w:jc w:val="both"/>
              <w:rPr>
                <w:rFonts w:eastAsia="Times New Roman"/>
                <w:sz w:val="24"/>
                <w:szCs w:val="24"/>
              </w:rPr>
            </w:pPr>
            <w:r w:rsidRPr="00E97682">
              <w:rPr>
                <w:rFonts w:eastAsia="Times New Roman"/>
                <w:sz w:val="24"/>
                <w:szCs w:val="24"/>
              </w:rPr>
              <w:t xml:space="preserve">Код згідно УКТ ЗЕД </w:t>
            </w:r>
            <w:r w:rsidRPr="00E97682">
              <w:rPr>
                <w:rFonts w:eastAsia="Times New Roman"/>
                <w:sz w:val="24"/>
                <w:szCs w:val="24"/>
              </w:rPr>
              <w:t>8467295100</w:t>
            </w:r>
          </w:p>
        </w:tc>
      </w:tr>
      <w:tr w:rsidR="00537606" w:rsidRPr="00E97682">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lastRenderedPageBreak/>
              <w:t>Країна походження</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Росія</w:t>
            </w:r>
          </w:p>
        </w:tc>
      </w:tr>
      <w:tr w:rsidR="00537606" w:rsidRPr="00E97682">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lastRenderedPageBreak/>
              <w:t>Контактні дані виробника</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 xml:space="preserve">Роберт Бош Плац 1, 70839 </w:t>
            </w:r>
            <w:proofErr w:type="spellStart"/>
            <w:r w:rsidRPr="00E97682">
              <w:rPr>
                <w:rFonts w:eastAsia="Times New Roman"/>
                <w:sz w:val="24"/>
                <w:szCs w:val="24"/>
              </w:rPr>
              <w:t>Штутгарт</w:t>
            </w:r>
            <w:proofErr w:type="spellEnd"/>
            <w:r w:rsidRPr="00E97682">
              <w:rPr>
                <w:rFonts w:eastAsia="Times New Roman"/>
                <w:sz w:val="24"/>
                <w:szCs w:val="24"/>
              </w:rPr>
              <w:t>. Німеччина</w:t>
            </w:r>
          </w:p>
        </w:tc>
      </w:tr>
      <w:tr w:rsidR="00537606" w:rsidRPr="00E97682">
        <w:trPr>
          <w:trHeight w:val="25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Тип та характер ризику</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640251" w:rsidRDefault="00E97682" w:rsidP="00640251">
            <w:pPr>
              <w:spacing w:after="120" w:line="240" w:lineRule="auto"/>
              <w:rPr>
                <w:rFonts w:eastAsia="Times New Roman"/>
                <w:sz w:val="24"/>
                <w:szCs w:val="24"/>
              </w:rPr>
            </w:pPr>
            <w:r>
              <w:rPr>
                <w:rFonts w:eastAsia="Times New Roman"/>
                <w:sz w:val="24"/>
                <w:szCs w:val="24"/>
              </w:rPr>
              <w:t>Н</w:t>
            </w:r>
            <w:r w:rsidR="006F548C" w:rsidRPr="00E97682">
              <w:rPr>
                <w:rFonts w:eastAsia="Times New Roman"/>
                <w:sz w:val="24"/>
                <w:szCs w:val="24"/>
              </w:rPr>
              <w:t xml:space="preserve">е становить серйозного </w:t>
            </w:r>
            <w:r w:rsidRPr="00640251">
              <w:rPr>
                <w:rFonts w:eastAsia="Times New Roman"/>
                <w:sz w:val="24"/>
                <w:szCs w:val="24"/>
              </w:rPr>
              <w:t>ризику.</w:t>
            </w:r>
          </w:p>
          <w:p w:rsidR="00537606" w:rsidRPr="00E97682" w:rsidRDefault="00E97682" w:rsidP="00640251">
            <w:pPr>
              <w:spacing w:after="120" w:line="240" w:lineRule="auto"/>
              <w:jc w:val="both"/>
              <w:rPr>
                <w:rFonts w:eastAsia="Times New Roman"/>
                <w:sz w:val="24"/>
                <w:szCs w:val="24"/>
              </w:rPr>
            </w:pPr>
            <w:r w:rsidRPr="00640251">
              <w:rPr>
                <w:rFonts w:eastAsia="Times New Roman"/>
                <w:sz w:val="24"/>
                <w:szCs w:val="24"/>
              </w:rPr>
              <w:t>В</w:t>
            </w:r>
            <w:r w:rsidR="006F548C" w:rsidRPr="00E97682">
              <w:rPr>
                <w:rFonts w:eastAsia="Times New Roman"/>
                <w:sz w:val="24"/>
                <w:szCs w:val="24"/>
              </w:rPr>
              <w:t xml:space="preserve"> процесі використання від’єднується шпиндель разом із закріпленим на ньому аксесуаром. Проте, до цього моменту не було заявлено про жоден випадок завдання шкоди споживачу чи пошкодження майна. Як показало попереднє дослідження, шпинделі можуть від’єднатис</w:t>
            </w:r>
            <w:r w:rsidR="006F548C" w:rsidRPr="00E97682">
              <w:rPr>
                <w:rFonts w:eastAsia="Times New Roman"/>
                <w:sz w:val="24"/>
                <w:szCs w:val="24"/>
              </w:rPr>
              <w:t>я від пошкодженого приладу, так як вони мають діаметр, менший за мінімально необхідний для безпечного притискання до приладу під час використання. Прилад не подає сигналу небезпеки перед від’єднанням шпинделя разом із аксесуаром. Після від’єднання від прил</w:t>
            </w:r>
            <w:r w:rsidR="006F548C" w:rsidRPr="00E97682">
              <w:rPr>
                <w:rFonts w:eastAsia="Times New Roman"/>
                <w:sz w:val="24"/>
                <w:szCs w:val="24"/>
              </w:rPr>
              <w:t>аду шпиндель зберігає своє кінетичну енергію протягом нетривалого часу, оскільки він не є зафіксований, і не під’єднаний до джерела живлення. Потім, як показало дослідження, від’єднаний шпиндель, швидше за все, не полетить у напрямку користувача, який стої</w:t>
            </w:r>
            <w:r w:rsidR="006F548C" w:rsidRPr="00E97682">
              <w:rPr>
                <w:rFonts w:eastAsia="Times New Roman"/>
                <w:sz w:val="24"/>
                <w:szCs w:val="24"/>
              </w:rPr>
              <w:t>ть поза приладом, а впаде вниз і покотиться у напрямку, протилежному від користувача. Від’єднання шпинделя може у рідких випадках спричинити незначн</w:t>
            </w:r>
            <w:r w:rsidR="00640251">
              <w:rPr>
                <w:rFonts w:eastAsia="Times New Roman"/>
                <w:sz w:val="24"/>
                <w:szCs w:val="24"/>
              </w:rPr>
              <w:t>і пошкодження (порізи чи синці)</w:t>
            </w:r>
          </w:p>
        </w:tc>
      </w:tr>
      <w:tr w:rsidR="00537606" w:rsidRPr="00E97682">
        <w:trPr>
          <w:trHeight w:val="150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Вжиті заходи</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E97682" w:rsidRDefault="00640251" w:rsidP="00640251">
            <w:pPr>
              <w:spacing w:after="120" w:line="240" w:lineRule="auto"/>
              <w:jc w:val="both"/>
              <w:rPr>
                <w:rFonts w:eastAsia="Times New Roman"/>
                <w:sz w:val="24"/>
                <w:szCs w:val="24"/>
              </w:rPr>
            </w:pPr>
            <w:r>
              <w:rPr>
                <w:rFonts w:eastAsia="Times New Roman"/>
                <w:sz w:val="24"/>
                <w:szCs w:val="24"/>
                <w:lang w:val="uk-UA"/>
              </w:rPr>
              <w:t>В</w:t>
            </w:r>
            <w:proofErr w:type="spellStart"/>
            <w:r>
              <w:rPr>
                <w:rFonts w:eastAsia="Times New Roman"/>
                <w:sz w:val="24"/>
                <w:szCs w:val="24"/>
              </w:rPr>
              <w:t>идано</w:t>
            </w:r>
            <w:proofErr w:type="spellEnd"/>
            <w:r w:rsidR="006F548C" w:rsidRPr="00E97682">
              <w:rPr>
                <w:rFonts w:eastAsia="Times New Roman"/>
                <w:sz w:val="24"/>
                <w:szCs w:val="24"/>
              </w:rPr>
              <w:t xml:space="preserve"> внутрішній наказ щодо тимчасового припинення продажів усіх потенційно небезпечних Кутових </w:t>
            </w:r>
            <w:proofErr w:type="spellStart"/>
            <w:r w:rsidR="006F548C" w:rsidRPr="00E97682">
              <w:rPr>
                <w:rFonts w:eastAsia="Times New Roman"/>
                <w:sz w:val="24"/>
                <w:szCs w:val="24"/>
              </w:rPr>
              <w:t>шліфмашин</w:t>
            </w:r>
            <w:proofErr w:type="spellEnd"/>
            <w:r w:rsidR="006F548C" w:rsidRPr="00E97682">
              <w:rPr>
                <w:rFonts w:eastAsia="Times New Roman"/>
                <w:sz w:val="24"/>
                <w:szCs w:val="24"/>
              </w:rPr>
              <w:t>;</w:t>
            </w:r>
          </w:p>
          <w:p w:rsidR="00537606" w:rsidRPr="00E97682" w:rsidRDefault="006F548C" w:rsidP="00640251">
            <w:pPr>
              <w:spacing w:after="120" w:line="240" w:lineRule="auto"/>
              <w:jc w:val="both"/>
              <w:rPr>
                <w:rFonts w:eastAsia="Times New Roman"/>
                <w:sz w:val="24"/>
                <w:szCs w:val="24"/>
              </w:rPr>
            </w:pPr>
            <w:r w:rsidRPr="00E97682">
              <w:rPr>
                <w:rFonts w:eastAsia="Times New Roman"/>
                <w:sz w:val="24"/>
                <w:szCs w:val="24"/>
              </w:rPr>
              <w:t>інформування громадськості;</w:t>
            </w:r>
          </w:p>
          <w:p w:rsidR="00537606" w:rsidRPr="00E97682" w:rsidRDefault="006F548C" w:rsidP="00640251">
            <w:pPr>
              <w:spacing w:after="120" w:line="240" w:lineRule="auto"/>
              <w:rPr>
                <w:rFonts w:eastAsia="Times New Roman"/>
                <w:sz w:val="24"/>
                <w:szCs w:val="24"/>
              </w:rPr>
            </w:pPr>
            <w:r w:rsidRPr="00E97682">
              <w:rPr>
                <w:rFonts w:eastAsia="Times New Roman"/>
                <w:sz w:val="24"/>
                <w:szCs w:val="24"/>
              </w:rPr>
              <w:t xml:space="preserve">інформування споживачів;  </w:t>
            </w:r>
          </w:p>
          <w:p w:rsidR="00537606" w:rsidRPr="00E97682" w:rsidRDefault="00640251" w:rsidP="00640251">
            <w:pPr>
              <w:spacing w:after="120" w:line="240" w:lineRule="auto"/>
              <w:rPr>
                <w:rFonts w:eastAsia="Times New Roman"/>
                <w:sz w:val="24"/>
                <w:szCs w:val="24"/>
              </w:rPr>
            </w:pPr>
            <w:r>
              <w:rPr>
                <w:rFonts w:eastAsia="Times New Roman"/>
                <w:sz w:val="24"/>
                <w:szCs w:val="24"/>
              </w:rPr>
              <w:t>відкликання у споживачів</w:t>
            </w:r>
          </w:p>
        </w:tc>
      </w:tr>
      <w:tr w:rsidR="00537606" w:rsidRPr="00E97682">
        <w:trPr>
          <w:trHeight w:val="6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37606" w:rsidRPr="00E97682" w:rsidRDefault="006F548C">
            <w:pPr>
              <w:spacing w:line="240" w:lineRule="auto"/>
              <w:jc w:val="both"/>
              <w:rPr>
                <w:rFonts w:eastAsia="Times New Roman"/>
                <w:sz w:val="24"/>
                <w:szCs w:val="24"/>
              </w:rPr>
            </w:pPr>
            <w:r w:rsidRPr="00E97682">
              <w:rPr>
                <w:rFonts w:eastAsia="Times New Roman"/>
                <w:sz w:val="24"/>
                <w:szCs w:val="24"/>
              </w:rPr>
              <w:t>Тривалість заходів</w:t>
            </w:r>
          </w:p>
        </w:tc>
        <w:tc>
          <w:tcPr>
            <w:tcW w:w="5790" w:type="dxa"/>
            <w:tcBorders>
              <w:top w:val="nil"/>
              <w:left w:val="nil"/>
              <w:bottom w:val="single" w:sz="8" w:space="0" w:color="000000"/>
              <w:right w:val="single" w:sz="8" w:space="0" w:color="000000"/>
            </w:tcBorders>
            <w:tcMar>
              <w:top w:w="100" w:type="dxa"/>
              <w:left w:w="100" w:type="dxa"/>
              <w:bottom w:w="100" w:type="dxa"/>
              <w:right w:w="100" w:type="dxa"/>
            </w:tcMar>
          </w:tcPr>
          <w:p w:rsidR="00537606" w:rsidRPr="00640251" w:rsidRDefault="006F548C" w:rsidP="00640251">
            <w:pPr>
              <w:spacing w:after="120" w:line="240" w:lineRule="auto"/>
              <w:rPr>
                <w:rFonts w:eastAsia="Times New Roman"/>
                <w:sz w:val="24"/>
                <w:szCs w:val="24"/>
                <w:lang w:val="uk-UA"/>
              </w:rPr>
            </w:pPr>
            <w:r w:rsidRPr="00E97682">
              <w:rPr>
                <w:rFonts w:eastAsia="Times New Roman"/>
                <w:sz w:val="24"/>
                <w:szCs w:val="24"/>
              </w:rPr>
              <w:t>Початок: 2016 року</w:t>
            </w:r>
            <w:r w:rsidR="00640251">
              <w:rPr>
                <w:rFonts w:eastAsia="Times New Roman"/>
                <w:sz w:val="24"/>
                <w:szCs w:val="24"/>
                <w:lang w:val="uk-UA"/>
              </w:rPr>
              <w:t>.</w:t>
            </w:r>
          </w:p>
          <w:p w:rsidR="00537606" w:rsidRPr="00E97682" w:rsidRDefault="006F548C" w:rsidP="00640251">
            <w:pPr>
              <w:spacing w:after="120" w:line="240" w:lineRule="auto"/>
              <w:rPr>
                <w:rFonts w:eastAsia="Times New Roman"/>
                <w:sz w:val="24"/>
                <w:szCs w:val="24"/>
              </w:rPr>
            </w:pPr>
            <w:r w:rsidRPr="00E97682">
              <w:rPr>
                <w:rFonts w:eastAsia="Times New Roman"/>
                <w:sz w:val="24"/>
                <w:szCs w:val="24"/>
              </w:rPr>
              <w:t>До остаточного відкликання</w:t>
            </w:r>
          </w:p>
        </w:tc>
      </w:tr>
    </w:tbl>
    <w:p w:rsidR="00537606" w:rsidRDefault="00537606">
      <w:pPr>
        <w:spacing w:line="240" w:lineRule="auto"/>
        <w:jc w:val="both"/>
        <w:rPr>
          <w:rFonts w:ascii="Times New Roman" w:eastAsia="Times New Roman" w:hAnsi="Times New Roman" w:cs="Times New Roman"/>
        </w:rPr>
      </w:pPr>
    </w:p>
    <w:p w:rsidR="00537606" w:rsidRPr="006F548C" w:rsidRDefault="006F548C">
      <w:pPr>
        <w:spacing w:line="240" w:lineRule="auto"/>
        <w:jc w:val="both"/>
        <w:rPr>
          <w:rFonts w:eastAsia="Times New Roman"/>
          <w:sz w:val="24"/>
          <w:szCs w:val="24"/>
        </w:rPr>
      </w:pPr>
      <w:r w:rsidRPr="006F548C">
        <w:rPr>
          <w:rFonts w:eastAsia="Times New Roman"/>
          <w:sz w:val="24"/>
          <w:szCs w:val="24"/>
        </w:rPr>
        <w:t>Зображення</w:t>
      </w:r>
      <w:bookmarkStart w:id="0" w:name="_GoBack"/>
      <w:bookmarkEnd w:id="0"/>
    </w:p>
    <w:p w:rsidR="00537606" w:rsidRDefault="006F548C">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uk-UA"/>
        </w:rPr>
        <w:lastRenderedPageBreak/>
        <w:drawing>
          <wp:inline distT="114300" distB="114300" distL="114300" distR="114300">
            <wp:extent cx="4262438" cy="283606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262438" cy="2836064"/>
                    </a:xfrm>
                    <a:prstGeom prst="rect">
                      <a:avLst/>
                    </a:prstGeom>
                    <a:ln/>
                  </pic:spPr>
                </pic:pic>
              </a:graphicData>
            </a:graphic>
          </wp:inline>
        </w:drawing>
      </w:r>
    </w:p>
    <w:p w:rsidR="00537606" w:rsidRDefault="006F548C">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uk-UA"/>
        </w:rPr>
        <w:drawing>
          <wp:inline distT="114300" distB="114300" distL="114300" distR="114300">
            <wp:extent cx="4248150" cy="2800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48150" cy="2800350"/>
                    </a:xfrm>
                    <a:prstGeom prst="rect">
                      <a:avLst/>
                    </a:prstGeom>
                    <a:ln/>
                  </pic:spPr>
                </pic:pic>
              </a:graphicData>
            </a:graphic>
          </wp:inline>
        </w:drawing>
      </w:r>
    </w:p>
    <w:p w:rsidR="00537606" w:rsidRDefault="00537606">
      <w:pPr>
        <w:spacing w:line="240" w:lineRule="auto"/>
        <w:jc w:val="both"/>
        <w:rPr>
          <w:rFonts w:ascii="Times New Roman" w:eastAsia="Times New Roman" w:hAnsi="Times New Roman" w:cs="Times New Roman"/>
        </w:rPr>
      </w:pPr>
    </w:p>
    <w:p w:rsidR="00537606" w:rsidRDefault="00537606"/>
    <w:sectPr w:rsidR="005376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537606"/>
    <w:rsid w:val="00537606"/>
    <w:rsid w:val="00640251"/>
    <w:rsid w:val="006F548C"/>
    <w:rsid w:val="00E97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0B8F"/>
  <w15:docId w15:val="{02DB12AB-644D-4B12-B759-87A3B504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1977</Words>
  <Characters>1127</Characters>
  <Application>Microsoft Office Word</Application>
  <DocSecurity>0</DocSecurity>
  <Lines>9</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ШЕВЧЕНКО Світлана Вікторівна</cp:lastModifiedBy>
  <cp:revision>4</cp:revision>
  <dcterms:created xsi:type="dcterms:W3CDTF">2019-05-23T13:09:00Z</dcterms:created>
  <dcterms:modified xsi:type="dcterms:W3CDTF">2019-05-23T13:12:00Z</dcterms:modified>
</cp:coreProperties>
</file>