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423"/>
      </w:tblGrid>
      <w:tr w:rsidR="00E71BE9" w:rsidRPr="00913E02" w:rsidTr="00EA792D">
        <w:trPr>
          <w:trHeight w:val="4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913E0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С</w:t>
            </w:r>
            <w:proofErr w:type="spellStart"/>
            <w:r w:rsidR="006B5F93" w:rsidRPr="00913E02">
              <w:rPr>
                <w:rFonts w:eastAsia="Times New Roman"/>
                <w:sz w:val="24"/>
                <w:szCs w:val="24"/>
              </w:rPr>
              <w:t>ерйозний</w:t>
            </w:r>
            <w:proofErr w:type="spellEnd"/>
            <w:r w:rsidR="006B5F93" w:rsidRPr="00913E02">
              <w:rPr>
                <w:rFonts w:eastAsia="Times New Roman"/>
                <w:sz w:val="24"/>
                <w:szCs w:val="24"/>
              </w:rPr>
              <w:t xml:space="preserve"> ризик відсутній</w:t>
            </w:r>
          </w:p>
        </w:tc>
      </w:tr>
      <w:tr w:rsidR="00E71BE9" w:rsidRPr="00913E02" w:rsidTr="00EA792D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19 лютого 2018 р. № 1768</w:t>
            </w:r>
          </w:p>
        </w:tc>
      </w:tr>
      <w:tr w:rsidR="00E71BE9" w:rsidRPr="00913E02" w:rsidTr="00EA792D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Електричне та електронне обладнання</w:t>
            </w:r>
          </w:p>
        </w:tc>
      </w:tr>
      <w:tr w:rsidR="00E71BE9" w:rsidRPr="00913E02" w:rsidTr="00EA792D">
        <w:trPr>
          <w:trHeight w:val="3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Електричний чайник</w:t>
            </w:r>
          </w:p>
        </w:tc>
      </w:tr>
      <w:tr w:rsidR="00E71BE9" w:rsidRPr="00913E02" w:rsidTr="00EA792D">
        <w:trPr>
          <w:trHeight w:val="374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Вірлпул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Корпорейшн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Whirlpool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Corporation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E71BE9" w:rsidRPr="00913E02" w:rsidTr="00EA792D">
        <w:trPr>
          <w:trHeight w:val="1219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after="14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 xml:space="preserve">Електричний чайник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КітченЕйд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[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KitchenAid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], моделі 5КЕК1722ЕАС, 5KEK1722EER, 5КЕК1722ЕОВ та 5KEK1722ESX, вироблявся компанією Ко- Він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Глобал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Лімітед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[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Co-Win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Global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Limited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>]</w:t>
            </w:r>
          </w:p>
        </w:tc>
      </w:tr>
      <w:tr w:rsidR="00E71BE9" w:rsidRPr="00913E02" w:rsidTr="00EA792D">
        <w:trPr>
          <w:trHeight w:val="4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 w:rsidP="00EA792D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Кількість одиниць продукції, яка не відповідає загальній</w:t>
            </w:r>
            <w:r w:rsidRPr="00913E0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вимозі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щодо безпечності продукції для України, становить приблизно 492. Продукцію, яка не відповідає загальній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вимозі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щодо безпечності продукції, можливо визначити за номером моделі продукції та унікальним серійним номером виробника. Модель та серійний но</w:t>
            </w:r>
            <w:r w:rsidRPr="00913E02">
              <w:rPr>
                <w:rFonts w:eastAsia="Times New Roman"/>
                <w:sz w:val="24"/>
                <w:szCs w:val="24"/>
              </w:rPr>
              <w:t xml:space="preserve">мер вказані на наклейці на дні продукції, а також на дні підставки. Комбінації моделі та серійного номера продукції, яка не відповідає загальній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вимозі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щодо безпечності продукції, яких стосується це повідомлення:</w:t>
            </w:r>
          </w:p>
          <w:p w:rsidR="00E71BE9" w:rsidRPr="00913E02" w:rsidRDefault="006B5F93" w:rsidP="00EA792D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Номер моделі</w:t>
            </w:r>
            <w:r w:rsidRPr="00913E02">
              <w:rPr>
                <w:rFonts w:eastAsia="Times New Roman"/>
                <w:sz w:val="24"/>
                <w:szCs w:val="24"/>
              </w:rPr>
              <w:tab/>
              <w:t>Серійні номери</w:t>
            </w:r>
          </w:p>
          <w:p w:rsidR="00E71BE9" w:rsidRPr="00913E02" w:rsidRDefault="006B5F93" w:rsidP="00EA792D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5КЕК1722ЕАС</w:t>
            </w:r>
            <w:r w:rsidRPr="00913E02">
              <w:rPr>
                <w:rFonts w:eastAsia="Times New Roman"/>
                <w:sz w:val="24"/>
                <w:szCs w:val="24"/>
              </w:rPr>
              <w:tab/>
              <w:t>з Y</w:t>
            </w:r>
            <w:r w:rsidRPr="00913E02">
              <w:rPr>
                <w:rFonts w:eastAsia="Times New Roman"/>
                <w:sz w:val="24"/>
                <w:szCs w:val="24"/>
              </w:rPr>
              <w:t>A302**** по YA724****</w:t>
            </w:r>
          </w:p>
          <w:p w:rsidR="00E71BE9" w:rsidRPr="00913E02" w:rsidRDefault="006B5F93" w:rsidP="00EA792D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5KEK1722EER</w:t>
            </w:r>
            <w:r w:rsidRPr="00913E02">
              <w:rPr>
                <w:rFonts w:eastAsia="Times New Roman"/>
                <w:sz w:val="24"/>
                <w:szCs w:val="24"/>
              </w:rPr>
              <w:tab/>
              <w:t>з YA302**** по YA724****</w:t>
            </w:r>
          </w:p>
          <w:p w:rsidR="00E71BE9" w:rsidRPr="00913E02" w:rsidRDefault="006B5F93" w:rsidP="00EA792D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5КЕК1722ЕОВ</w:t>
            </w:r>
            <w:r w:rsidRPr="00913E02">
              <w:rPr>
                <w:rFonts w:eastAsia="Times New Roman"/>
                <w:sz w:val="24"/>
                <w:szCs w:val="24"/>
              </w:rPr>
              <w:tab/>
              <w:t>з YA302**** по YA724****</w:t>
            </w:r>
          </w:p>
          <w:p w:rsidR="00E71BE9" w:rsidRPr="00913E02" w:rsidRDefault="006B5F93" w:rsidP="00EA792D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5KEK1722ESX</w:t>
            </w:r>
            <w:r w:rsidRPr="00913E02">
              <w:rPr>
                <w:rFonts w:eastAsia="Times New Roman"/>
                <w:sz w:val="24"/>
                <w:szCs w:val="24"/>
              </w:rPr>
              <w:tab/>
              <w:t>з YA302**** по YA724****</w:t>
            </w:r>
          </w:p>
          <w:p w:rsidR="00E71BE9" w:rsidRPr="00913E02" w:rsidRDefault="006B5F93" w:rsidP="00913E0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Код згідно УКТ ЗЕД: 8516 10</w:t>
            </w:r>
          </w:p>
        </w:tc>
      </w:tr>
      <w:tr w:rsidR="00E71BE9" w:rsidRPr="00913E02" w:rsidTr="00EA792D">
        <w:trPr>
          <w:trHeight w:val="2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Китай</w:t>
            </w:r>
          </w:p>
        </w:tc>
      </w:tr>
      <w:tr w:rsidR="00E71BE9" w:rsidRPr="00913E02" w:rsidTr="00EA792D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 w:rsidP="00913E0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 xml:space="preserve">2000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Норт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М-63,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Бентон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Харбор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, штат Мічиган, 49022, Сполучені Штати (розповсюджувача) Америки (адреса реєстрації) [2000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North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М-63,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Benton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Harbor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, MI 49022,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United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States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registered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address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>)]</w:t>
            </w:r>
          </w:p>
        </w:tc>
      </w:tr>
      <w:tr w:rsidR="00E71BE9" w:rsidRPr="00913E02" w:rsidTr="00EA792D">
        <w:trPr>
          <w:trHeight w:val="12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EA792D" w:rsidRDefault="00EA792D" w:rsidP="00913E02">
            <w:pPr>
              <w:spacing w:after="120"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6B5F93" w:rsidRPr="00913E02">
              <w:rPr>
                <w:rFonts w:eastAsia="Times New Roman"/>
                <w:sz w:val="24"/>
                <w:szCs w:val="24"/>
              </w:rPr>
              <w:t>ерйозний ризик відсутній</w:t>
            </w:r>
            <w:r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E71BE9" w:rsidRPr="00913E02" w:rsidRDefault="006B5F93" w:rsidP="00EA792D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913E02">
              <w:rPr>
                <w:rFonts w:eastAsia="Times New Roman"/>
                <w:sz w:val="24"/>
                <w:szCs w:val="24"/>
              </w:rPr>
              <w:t>Вірлпул</w:t>
            </w:r>
            <w:proofErr w:type="spellEnd"/>
            <w:r w:rsidRPr="00913E02">
              <w:rPr>
                <w:rFonts w:eastAsia="Times New Roman"/>
                <w:sz w:val="24"/>
                <w:szCs w:val="24"/>
              </w:rPr>
              <w:t xml:space="preserve"> вважа</w:t>
            </w:r>
            <w:r w:rsidRPr="00913E02">
              <w:rPr>
                <w:rFonts w:eastAsia="Times New Roman"/>
                <w:sz w:val="24"/>
                <w:szCs w:val="24"/>
              </w:rPr>
              <w:t>є, що у виняткових випадках існує ризик відділення від корпусу кріплення у верхній частині руків'я чайника, що спричинить нестабільність чайника.</w:t>
            </w:r>
          </w:p>
        </w:tc>
      </w:tr>
      <w:tr w:rsidR="00E71BE9" w:rsidRPr="00913E02" w:rsidTr="00EA792D">
        <w:trPr>
          <w:trHeight w:val="2735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lastRenderedPageBreak/>
              <w:t>Вжиті заходи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EA792D" w:rsidP="00913E0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6B5F93" w:rsidRPr="00913E02">
              <w:rPr>
                <w:rFonts w:eastAsia="Times New Roman"/>
                <w:sz w:val="24"/>
                <w:szCs w:val="24"/>
              </w:rPr>
              <w:t>аміна продукції на яку поширюється програма усунення недоліків;</w:t>
            </w:r>
          </w:p>
          <w:p w:rsidR="00E71BE9" w:rsidRPr="00913E02" w:rsidRDefault="006B5F93" w:rsidP="00913E0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контактування з споживачами з метою інформування та заміни продукції;</w:t>
            </w:r>
          </w:p>
          <w:p w:rsidR="00E71BE9" w:rsidRPr="00913E02" w:rsidRDefault="006B5F93" w:rsidP="00913E0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інструктаж щодо програми усунення недоліків;</w:t>
            </w:r>
          </w:p>
          <w:p w:rsidR="00E71BE9" w:rsidRPr="00913E02" w:rsidRDefault="006B5F93" w:rsidP="00913E0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знищення продукції, яка не відповідає вимогам безпечності;</w:t>
            </w:r>
          </w:p>
          <w:p w:rsidR="00E71BE9" w:rsidRPr="00913E02" w:rsidRDefault="00EA792D" w:rsidP="00913E0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зупинка реалізації продукції</w:t>
            </w:r>
          </w:p>
        </w:tc>
      </w:tr>
      <w:tr w:rsidR="00E71BE9" w:rsidRPr="00913E02" w:rsidTr="00EA792D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913E02" w:rsidRDefault="006B5F9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BE9" w:rsidRPr="00EA792D" w:rsidRDefault="006B5F93" w:rsidP="00913E02">
            <w:pPr>
              <w:spacing w:after="120"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Початок: лютий 2018 року</w:t>
            </w:r>
            <w:r w:rsidR="00EA792D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E71BE9" w:rsidRPr="00913E02" w:rsidRDefault="006B5F93" w:rsidP="00913E02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13E02">
              <w:rPr>
                <w:rFonts w:eastAsia="Times New Roman"/>
                <w:sz w:val="24"/>
                <w:szCs w:val="24"/>
              </w:rPr>
              <w:t>До остаточного відкликання</w:t>
            </w:r>
          </w:p>
        </w:tc>
      </w:tr>
    </w:tbl>
    <w:p w:rsidR="00E71BE9" w:rsidRDefault="00E71BE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71BE9" w:rsidRPr="006B5F93" w:rsidRDefault="006B5F93">
      <w:pPr>
        <w:spacing w:line="240" w:lineRule="auto"/>
        <w:jc w:val="both"/>
        <w:rPr>
          <w:rFonts w:eastAsia="Times New Roman"/>
          <w:sz w:val="24"/>
          <w:szCs w:val="24"/>
        </w:rPr>
      </w:pPr>
      <w:bookmarkStart w:id="0" w:name="_GoBack"/>
      <w:r w:rsidRPr="006B5F93">
        <w:rPr>
          <w:rFonts w:eastAsia="Times New Roman"/>
          <w:sz w:val="24"/>
          <w:szCs w:val="24"/>
        </w:rPr>
        <w:t>Зображення</w:t>
      </w:r>
    </w:p>
    <w:bookmarkEnd w:id="0"/>
    <w:p w:rsidR="00E71BE9" w:rsidRDefault="00E71BE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71BE9" w:rsidRDefault="006B5F9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uk-UA"/>
        </w:rPr>
        <w:drawing>
          <wp:inline distT="114300" distB="114300" distL="114300" distR="114300">
            <wp:extent cx="5734050" cy="3644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64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71B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71BE9"/>
    <w:rsid w:val="006B5F93"/>
    <w:rsid w:val="00913E02"/>
    <w:rsid w:val="00E71BE9"/>
    <w:rsid w:val="00EA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6BFA"/>
  <w15:docId w15:val="{BC5F2644-5B6F-4CDF-A716-130C86F1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1278</Words>
  <Characters>729</Characters>
  <Application>Microsoft Office Word</Application>
  <DocSecurity>0</DocSecurity>
  <Lines>6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4</cp:revision>
  <dcterms:created xsi:type="dcterms:W3CDTF">2019-05-23T12:57:00Z</dcterms:created>
  <dcterms:modified xsi:type="dcterms:W3CDTF">2019-05-23T12:59:00Z</dcterms:modified>
</cp:coreProperties>
</file>